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9D" w:rsidRPr="005B6494" w:rsidRDefault="003D069D" w:rsidP="003D069D">
      <w:pPr>
        <w:tabs>
          <w:tab w:val="right" w:pos="10350"/>
        </w:tabs>
        <w:ind w:left="-1080" w:right="-36"/>
        <w:jc w:val="center"/>
        <w:rPr>
          <w:rFonts w:ascii="Times New Roman" w:hAnsi="Times New Roman" w:cs="Times New Roman"/>
          <w:b/>
          <w:bCs/>
          <w:sz w:val="20"/>
          <w:szCs w:val="20"/>
          <w:lang w:val="fr-FR"/>
        </w:rPr>
      </w:pPr>
      <w:r w:rsidRPr="005B6494">
        <w:rPr>
          <w:rFonts w:ascii="Times New Roman" w:hAnsi="Times New Roman" w:cs="Times New Roman"/>
          <w:b/>
          <w:bCs/>
          <w:sz w:val="20"/>
          <w:szCs w:val="20"/>
          <w:lang w:val="fr-FR"/>
        </w:rPr>
        <w:t>T</w:t>
      </w:r>
      <w:r>
        <w:rPr>
          <w:rFonts w:ascii="Times New Roman" w:hAnsi="Times New Roman" w:cs="Times New Roman"/>
          <w:b/>
          <w:bCs/>
          <w:sz w:val="20"/>
          <w:szCs w:val="20"/>
          <w:lang w:val="fr-FR"/>
        </w:rPr>
        <w:t>echnical</w:t>
      </w:r>
      <w:r w:rsidRPr="005B6494">
        <w:rPr>
          <w:rFonts w:ascii="Times New Roman" w:hAnsi="Times New Roman" w:cs="Times New Roman"/>
          <w:b/>
          <w:bCs/>
          <w:sz w:val="20"/>
          <w:szCs w:val="20"/>
          <w:lang w:val="fr-FR"/>
        </w:rPr>
        <w:t xml:space="preserve"> Report Documentation Page</w:t>
      </w:r>
    </w:p>
    <w:tbl>
      <w:tblPr>
        <w:tblW w:w="9856" w:type="dxa"/>
        <w:jc w:val="center"/>
        <w:tblLayout w:type="fixed"/>
        <w:tblCellMar>
          <w:left w:w="120" w:type="dxa"/>
          <w:right w:w="120" w:type="dxa"/>
        </w:tblCellMar>
        <w:tblLook w:val="0000" w:firstRow="0" w:lastRow="0" w:firstColumn="0" w:lastColumn="0" w:noHBand="0" w:noVBand="0"/>
      </w:tblPr>
      <w:tblGrid>
        <w:gridCol w:w="2772"/>
        <w:gridCol w:w="1315"/>
        <w:gridCol w:w="1740"/>
        <w:gridCol w:w="1740"/>
        <w:gridCol w:w="2289"/>
      </w:tblGrid>
      <w:tr w:rsidR="003D069D" w:rsidRPr="005B6494" w:rsidTr="00297F8A">
        <w:trPr>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 Report No.</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 xml:space="preserve">DOT HS XXX </w:t>
            </w:r>
            <w:proofErr w:type="spellStart"/>
            <w:r w:rsidRPr="005B6494">
              <w:rPr>
                <w:rFonts w:ascii="Times New Roman" w:hAnsi="Times New Roman" w:cs="Times New Roman"/>
                <w:sz w:val="20"/>
                <w:szCs w:val="20"/>
              </w:rPr>
              <w:t>XXX</w:t>
            </w:r>
            <w:proofErr w:type="spellEnd"/>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 Government Accession No.</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3. Recipient’s Catalog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jc w:val="both"/>
              <w:rPr>
                <w:rFonts w:ascii="Times New Roman" w:hAnsi="Times New Roman" w:cs="Times New Roman"/>
                <w:b/>
                <w:bCs/>
                <w:sz w:val="20"/>
                <w:szCs w:val="20"/>
              </w:rPr>
            </w:pPr>
            <w:r w:rsidRPr="005B6494">
              <w:rPr>
                <w:rFonts w:ascii="Times New Roman" w:hAnsi="Times New Roman" w:cs="Times New Roman"/>
                <w:b/>
                <w:bCs/>
                <w:sz w:val="20"/>
                <w:szCs w:val="20"/>
              </w:rPr>
              <w:t>4. Title and Subtitle</w:t>
            </w:r>
          </w:p>
          <w:p w:rsidR="003D069D" w:rsidRPr="005B6494" w:rsidRDefault="003D069D" w:rsidP="00297F8A">
            <w:pPr>
              <w:contextualSpacing/>
              <w:rPr>
                <w:rFonts w:ascii="Times New Roman" w:hAnsi="Times New Roman" w:cs="Times New Roman"/>
                <w:sz w:val="20"/>
                <w:szCs w:val="20"/>
              </w:rPr>
            </w:pPr>
            <w:r w:rsidRPr="003D069D">
              <w:rPr>
                <w:rFonts w:ascii="Times New Roman" w:hAnsi="Times New Roman" w:cs="Times New Roman"/>
                <w:sz w:val="20"/>
                <w:szCs w:val="20"/>
              </w:rPr>
              <w:t xml:space="preserve">Cost and Weight Analysis of </w:t>
            </w:r>
            <w:r w:rsidR="008E6C8F">
              <w:rPr>
                <w:rFonts w:ascii="Times New Roman" w:hAnsi="Times New Roman" w:cs="Times New Roman"/>
                <w:sz w:val="20"/>
                <w:szCs w:val="20"/>
              </w:rPr>
              <w:t>Blind Spot Intervention</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5. Report Date</w:t>
            </w:r>
          </w:p>
          <w:p w:rsidR="003D069D" w:rsidRPr="005B6494" w:rsidRDefault="00C35865" w:rsidP="00297F8A">
            <w:pPr>
              <w:spacing w:after="58"/>
              <w:contextualSpacing/>
              <w:rPr>
                <w:rFonts w:ascii="Times New Roman" w:hAnsi="Times New Roman" w:cs="Times New Roman"/>
                <w:b/>
                <w:bCs/>
                <w:sz w:val="20"/>
                <w:szCs w:val="20"/>
              </w:rPr>
            </w:pPr>
            <w:r w:rsidRPr="00C35865">
              <w:rPr>
                <w:rFonts w:ascii="Times New Roman" w:hAnsi="Times New Roman" w:cs="Times New Roman"/>
                <w:sz w:val="20"/>
                <w:szCs w:val="20"/>
              </w:rPr>
              <w:t>1</w:t>
            </w:r>
            <w:r w:rsidR="008E6C8F">
              <w:rPr>
                <w:rFonts w:ascii="Times New Roman" w:hAnsi="Times New Roman" w:cs="Times New Roman"/>
                <w:sz w:val="20"/>
                <w:szCs w:val="20"/>
              </w:rPr>
              <w:t>5</w:t>
            </w:r>
            <w:r w:rsidRPr="00C35865">
              <w:rPr>
                <w:rFonts w:ascii="Times New Roman" w:hAnsi="Times New Roman" w:cs="Times New Roman"/>
                <w:sz w:val="20"/>
                <w:szCs w:val="20"/>
              </w:rPr>
              <w:t>-A</w:t>
            </w:r>
            <w:r w:rsidR="008E6C8F">
              <w:rPr>
                <w:rFonts w:ascii="Times New Roman" w:hAnsi="Times New Roman" w:cs="Times New Roman"/>
                <w:sz w:val="20"/>
                <w:szCs w:val="20"/>
              </w:rPr>
              <w:t>PRIL-2021</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6. Performing Organization Code</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jc w:val="center"/>
        </w:trPr>
        <w:tc>
          <w:tcPr>
            <w:tcW w:w="5827"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7. Author</w:t>
            </w:r>
          </w:p>
          <w:p w:rsidR="003D069D" w:rsidRPr="005B6494" w:rsidRDefault="003D069D" w:rsidP="00297F8A">
            <w:pPr>
              <w:spacing w:after="58"/>
              <w:contextualSpacing/>
              <w:rPr>
                <w:rFonts w:ascii="Times New Roman" w:hAnsi="Times New Roman" w:cs="Times New Roman"/>
                <w:sz w:val="20"/>
                <w:szCs w:val="20"/>
                <w:lang w:val="de-DE"/>
              </w:rPr>
            </w:pPr>
            <w:r w:rsidRPr="003D069D">
              <w:rPr>
                <w:rFonts w:ascii="Times New Roman" w:hAnsi="Times New Roman" w:cs="Times New Roman"/>
                <w:sz w:val="20"/>
                <w:szCs w:val="20"/>
                <w:lang w:val="de-DE"/>
              </w:rPr>
              <w:t>Ricardo Inc.</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8. Performing Organization Report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9. Performing Organization Name and Address</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Detroit Technical Center</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Van Buren Twp., MI</w:t>
            </w:r>
          </w:p>
          <w:p w:rsidR="003D069D" w:rsidRPr="005B6494"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48111 USA</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10. Work Unit No. (TRAIS)</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11. Contract or Grant No.</w:t>
            </w:r>
          </w:p>
          <w:p w:rsidR="00561006" w:rsidRPr="00561006" w:rsidRDefault="00561006" w:rsidP="00561006">
            <w:pPr>
              <w:spacing w:after="58"/>
              <w:contextualSpacing/>
              <w:rPr>
                <w:rFonts w:ascii="Times New Roman" w:hAnsi="Times New Roman" w:cs="Times New Roman"/>
                <w:bCs/>
                <w:sz w:val="20"/>
                <w:szCs w:val="20"/>
              </w:rPr>
            </w:pPr>
            <w:r w:rsidRPr="00561006">
              <w:rPr>
                <w:rFonts w:ascii="Times New Roman" w:hAnsi="Times New Roman" w:cs="Times New Roman"/>
                <w:bCs/>
                <w:sz w:val="20"/>
                <w:szCs w:val="20"/>
              </w:rPr>
              <w:t>DTNH2216D00037</w:t>
            </w:r>
          </w:p>
          <w:p w:rsidR="003D069D" w:rsidRPr="005B6494" w:rsidRDefault="00561006" w:rsidP="00561006">
            <w:pPr>
              <w:spacing w:after="58"/>
              <w:contextualSpacing/>
              <w:rPr>
                <w:rFonts w:ascii="Times New Roman" w:hAnsi="Times New Roman" w:cs="Times New Roman"/>
                <w:b/>
                <w:bCs/>
                <w:sz w:val="20"/>
                <w:szCs w:val="20"/>
              </w:rPr>
            </w:pPr>
            <w:r w:rsidRPr="00561006">
              <w:rPr>
                <w:rFonts w:ascii="Times New Roman" w:hAnsi="Times New Roman" w:cs="Times New Roman"/>
                <w:bCs/>
                <w:sz w:val="20"/>
                <w:szCs w:val="20"/>
              </w:rPr>
              <w:t xml:space="preserve">Task Order: </w:t>
            </w:r>
            <w:r w:rsidR="008E6C8F" w:rsidRPr="008E6C8F">
              <w:rPr>
                <w:rFonts w:ascii="Times New Roman" w:hAnsi="Times New Roman" w:cs="Times New Roman"/>
                <w:bCs/>
                <w:sz w:val="20"/>
                <w:szCs w:val="20"/>
              </w:rPr>
              <w:t>693JJ920F000181</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12. Sponsoring Agency Name and Address</w:t>
            </w:r>
          </w:p>
          <w:p w:rsidR="003D069D"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National Highway Traffic Safety Administration</w:t>
            </w:r>
          </w:p>
          <w:p w:rsidR="003D069D" w:rsidRPr="005B6494" w:rsidRDefault="003D069D" w:rsidP="00297F8A">
            <w:pPr>
              <w:contextualSpacing/>
              <w:rPr>
                <w:rFonts w:ascii="Times New Roman" w:hAnsi="Times New Roman" w:cs="Times New Roman"/>
                <w:sz w:val="20"/>
                <w:szCs w:val="20"/>
              </w:rPr>
            </w:pPr>
            <w:r w:rsidRPr="00267878">
              <w:rPr>
                <w:rFonts w:ascii="Times New Roman" w:hAnsi="Times New Roman" w:cs="Times New Roman"/>
                <w:sz w:val="20"/>
                <w:szCs w:val="20"/>
              </w:rPr>
              <w:t>Evaluation Division; National Center for Statistics and Analysis</w:t>
            </w:r>
          </w:p>
          <w:p w:rsidR="003D069D" w:rsidRPr="005B6494"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1200 New Jersey Avenue SE.</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Washington, DC 20590</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13. Type of Report and Period Covered</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NHTSA Technical Report</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14. Sponsoring Agency Code</w:t>
            </w:r>
          </w:p>
          <w:p w:rsidR="003D069D" w:rsidRPr="002C547C" w:rsidRDefault="003D069D"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NSA-310</w:t>
            </w:r>
          </w:p>
        </w:tc>
      </w:tr>
      <w:tr w:rsidR="003D069D" w:rsidRPr="005B6494" w:rsidTr="00297F8A">
        <w:trPr>
          <w:trHeight w:hRule="exact" w:val="507"/>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rPr>
                <w:rFonts w:ascii="Times New Roman" w:hAnsi="Times New Roman" w:cs="Times New Roman"/>
                <w:sz w:val="20"/>
                <w:szCs w:val="20"/>
              </w:rPr>
            </w:pPr>
            <w:r w:rsidRPr="005B6494">
              <w:rPr>
                <w:rFonts w:ascii="Times New Roman" w:hAnsi="Times New Roman" w:cs="Times New Roman"/>
                <w:b/>
                <w:bCs/>
                <w:sz w:val="20"/>
                <w:szCs w:val="20"/>
              </w:rPr>
              <w:t>15. Supplementary Notes</w:t>
            </w:r>
          </w:p>
        </w:tc>
      </w:tr>
      <w:tr w:rsidR="003D069D" w:rsidRPr="005B6494" w:rsidTr="00297F8A">
        <w:trPr>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561006" w:rsidRDefault="003D069D" w:rsidP="008E6C8F">
            <w:pPr>
              <w:contextualSpacing/>
              <w:rPr>
                <w:rFonts w:ascii="Times New Roman" w:hAnsi="Times New Roman" w:cs="Times New Roman"/>
                <w:sz w:val="20"/>
                <w:szCs w:val="20"/>
              </w:rPr>
            </w:pPr>
            <w:r w:rsidRPr="002C547C">
              <w:rPr>
                <w:rFonts w:ascii="Times New Roman" w:hAnsi="Times New Roman" w:cs="Times New Roman"/>
                <w:b/>
                <w:bCs/>
                <w:sz w:val="20"/>
                <w:szCs w:val="20"/>
              </w:rPr>
              <w:t>16. Abstract</w:t>
            </w:r>
            <w:bookmarkStart w:id="0" w:name="bookmark0"/>
            <w:bookmarkEnd w:id="0"/>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 xml:space="preserve">Blind spot intervention (BSI) is, technologically, a combination of two existing systems, namely Blind Spot Detection (BSD) and Lane Keeping Assist (LKA). Vehicles were reviewed for the presence of BSD, LKA, and BSI features and it was found that the 2016 – 2020 model year platform of the Jaguar F-Pace was uniquely qualified for this study by the addition of BSI functionality between model years on the same vehicle. The F-Pace control system hardware for steering, braking, blind spot monitoring, and lane keeping was evaluated and found to exhibit no evidence of changes that were necessary to enable BSI. </w:t>
            </w:r>
          </w:p>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 xml:space="preserve">The software development effort to enable BSI was also evaluated and was found to potentially require the inter-linking of the BSD and LKA algorithms along with functional safety validation, depending on the generation of software architecture, as shown in </w:t>
            </w:r>
            <w:r w:rsidRPr="008E6C8F">
              <w:rPr>
                <w:rFonts w:ascii="Times New Roman" w:hAnsi="Times New Roman" w:cs="Times New Roman"/>
                <w:sz w:val="20"/>
                <w:szCs w:val="20"/>
              </w:rPr>
              <w:fldChar w:fldCharType="begin"/>
            </w:r>
            <w:r w:rsidRPr="008E6C8F">
              <w:rPr>
                <w:rFonts w:ascii="Times New Roman" w:hAnsi="Times New Roman" w:cs="Times New Roman"/>
                <w:sz w:val="20"/>
                <w:szCs w:val="20"/>
              </w:rPr>
              <w:instrText xml:space="preserve"> REF _Ref68102319 \h </w:instrText>
            </w:r>
            <w:r w:rsidRPr="008E6C8F">
              <w:rPr>
                <w:rFonts w:ascii="Times New Roman" w:hAnsi="Times New Roman" w:cs="Times New Roman"/>
                <w:sz w:val="20"/>
                <w:szCs w:val="20"/>
              </w:rPr>
            </w:r>
            <w:r w:rsidRPr="008E6C8F">
              <w:rPr>
                <w:rFonts w:ascii="Times New Roman" w:hAnsi="Times New Roman" w:cs="Times New Roman"/>
                <w:sz w:val="20"/>
                <w:szCs w:val="20"/>
              </w:rPr>
              <w:fldChar w:fldCharType="separate"/>
            </w:r>
            <w:r w:rsidRPr="008E6C8F">
              <w:rPr>
                <w:rFonts w:ascii="Times New Roman" w:hAnsi="Times New Roman" w:cs="Times New Roman"/>
                <w:b/>
                <w:bCs/>
                <w:sz w:val="20"/>
                <w:szCs w:val="20"/>
              </w:rPr>
              <w:t>Table 1</w:t>
            </w:r>
            <w:r w:rsidRPr="008E6C8F">
              <w:rPr>
                <w:rFonts w:ascii="Times New Roman" w:hAnsi="Times New Roman" w:cs="Times New Roman"/>
                <w:sz w:val="20"/>
                <w:szCs w:val="20"/>
              </w:rPr>
              <w:fldChar w:fldCharType="end"/>
            </w:r>
            <w:r w:rsidRPr="008E6C8F">
              <w:rPr>
                <w:rFonts w:ascii="Times New Roman" w:hAnsi="Times New Roman" w:cs="Times New Roman"/>
                <w:sz w:val="20"/>
                <w:szCs w:val="20"/>
              </w:rPr>
              <w:t>. Gen 1 vehicles have BSD and LKA existent but performing as stand-alone systems; Gen 2 vehicles likewise have BSD and LKA and are capable of communicating with each but do not do so; Gen 3 vehicles have fully-integrated ADAS systems including at least BSD and LKA but may not have enabled BSI functionality.</w:t>
            </w: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bookmarkStart w:id="1" w:name="_Ref68102319"/>
            <w:r w:rsidRPr="008E6C8F">
              <w:rPr>
                <w:rFonts w:ascii="Times New Roman" w:hAnsi="Times New Roman" w:cs="Times New Roman"/>
                <w:b/>
                <w:bCs/>
                <w:sz w:val="20"/>
                <w:szCs w:val="20"/>
              </w:rPr>
              <w:t xml:space="preserve">Table </w:t>
            </w:r>
            <w:r w:rsidRPr="008E6C8F">
              <w:rPr>
                <w:rFonts w:ascii="Times New Roman" w:hAnsi="Times New Roman" w:cs="Times New Roman"/>
                <w:b/>
                <w:bCs/>
                <w:sz w:val="20"/>
                <w:szCs w:val="20"/>
              </w:rPr>
              <w:fldChar w:fldCharType="begin"/>
            </w:r>
            <w:r w:rsidRPr="008E6C8F">
              <w:rPr>
                <w:rFonts w:ascii="Times New Roman" w:hAnsi="Times New Roman" w:cs="Times New Roman"/>
                <w:b/>
                <w:bCs/>
                <w:sz w:val="20"/>
                <w:szCs w:val="20"/>
              </w:rPr>
              <w:instrText xml:space="preserve"> SEQ Table \* ARABIC </w:instrText>
            </w:r>
            <w:r w:rsidRPr="008E6C8F">
              <w:rPr>
                <w:rFonts w:ascii="Times New Roman" w:hAnsi="Times New Roman" w:cs="Times New Roman"/>
                <w:b/>
                <w:bCs/>
                <w:sz w:val="20"/>
                <w:szCs w:val="20"/>
              </w:rPr>
              <w:fldChar w:fldCharType="separate"/>
            </w:r>
            <w:r w:rsidRPr="008E6C8F">
              <w:rPr>
                <w:rFonts w:ascii="Times New Roman" w:hAnsi="Times New Roman" w:cs="Times New Roman"/>
                <w:b/>
                <w:bCs/>
                <w:sz w:val="20"/>
                <w:szCs w:val="20"/>
              </w:rPr>
              <w:t>1</w:t>
            </w:r>
            <w:r w:rsidRPr="008E6C8F">
              <w:rPr>
                <w:rFonts w:ascii="Times New Roman" w:hAnsi="Times New Roman" w:cs="Times New Roman"/>
                <w:sz w:val="20"/>
                <w:szCs w:val="20"/>
              </w:rPr>
              <w:fldChar w:fldCharType="end"/>
            </w:r>
            <w:bookmarkEnd w:id="1"/>
            <w:r w:rsidRPr="008E6C8F">
              <w:rPr>
                <w:rFonts w:ascii="Times New Roman" w:hAnsi="Times New Roman" w:cs="Times New Roman"/>
                <w:sz w:val="20"/>
                <w:szCs w:val="20"/>
              </w:rPr>
              <w:t xml:space="preserve"> Software development effort and cost required for BSI enablement</w:t>
            </w:r>
          </w:p>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fldChar w:fldCharType="begin"/>
            </w:r>
            <w:r w:rsidRPr="008E6C8F">
              <w:rPr>
                <w:rFonts w:ascii="Times New Roman" w:hAnsi="Times New Roman" w:cs="Times New Roman"/>
                <w:sz w:val="20"/>
                <w:szCs w:val="20"/>
              </w:rPr>
              <w:instrText xml:space="preserve"> LINK Excel.Sheet.12 "C:\\Users\\dlb2\\OneDrive - Ricardo Plc\\Documents\\NHTSA\\Blindspot Intervention\\BSI development effort.xlsx" "BSI abstract table!R6C2:R14C5" \a \f 4 \h </w:instrText>
            </w:r>
            <w:r w:rsidRPr="008E6C8F">
              <w:rPr>
                <w:rFonts w:ascii="Times New Roman" w:hAnsi="Times New Roman" w:cs="Times New Roman"/>
                <w:sz w:val="20"/>
                <w:szCs w:val="20"/>
              </w:rPr>
              <w:fldChar w:fldCharType="separate"/>
            </w:r>
          </w:p>
          <w:tbl>
            <w:tblPr>
              <w:tblW w:w="9580" w:type="dxa"/>
              <w:tblLayout w:type="fixed"/>
              <w:tblLook w:val="04A0" w:firstRow="1" w:lastRow="0" w:firstColumn="1" w:lastColumn="0" w:noHBand="0" w:noVBand="1"/>
            </w:tblPr>
            <w:tblGrid>
              <w:gridCol w:w="2380"/>
              <w:gridCol w:w="2460"/>
              <w:gridCol w:w="2460"/>
              <w:gridCol w:w="2280"/>
            </w:tblGrid>
            <w:tr w:rsidR="008E6C8F" w:rsidRPr="008E6C8F" w:rsidTr="00A04C67">
              <w:trPr>
                <w:trHeight w:val="288"/>
              </w:trPr>
              <w:tc>
                <w:tcPr>
                  <w:tcW w:w="2380" w:type="dxa"/>
                  <w:tcBorders>
                    <w:top w:val="nil"/>
                    <w:left w:val="nil"/>
                    <w:bottom w:val="nil"/>
                    <w:right w:val="nil"/>
                  </w:tcBorders>
                  <w:shd w:val="clear" w:color="000000" w:fill="FFFFFF"/>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 </w:t>
                  </w:r>
                </w:p>
              </w:tc>
              <w:tc>
                <w:tcPr>
                  <w:tcW w:w="2460" w:type="dxa"/>
                  <w:tcBorders>
                    <w:top w:val="nil"/>
                    <w:left w:val="nil"/>
                    <w:bottom w:val="single" w:sz="4" w:space="0" w:color="BFBFBF"/>
                    <w:right w:val="single" w:sz="4" w:space="0" w:color="FFFFFF"/>
                  </w:tcBorders>
                  <w:shd w:val="clear" w:color="000000" w:fill="808080"/>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b/>
                      <w:bCs/>
                      <w:sz w:val="20"/>
                      <w:szCs w:val="20"/>
                    </w:rPr>
                  </w:pPr>
                  <w:r w:rsidRPr="008E6C8F">
                    <w:rPr>
                      <w:rFonts w:ascii="Times New Roman" w:hAnsi="Times New Roman" w:cs="Times New Roman"/>
                      <w:b/>
                      <w:bCs/>
                      <w:sz w:val="20"/>
                      <w:szCs w:val="20"/>
                    </w:rPr>
                    <w:t>Gen 1</w:t>
                  </w:r>
                </w:p>
              </w:tc>
              <w:tc>
                <w:tcPr>
                  <w:tcW w:w="2460" w:type="dxa"/>
                  <w:tcBorders>
                    <w:top w:val="nil"/>
                    <w:left w:val="nil"/>
                    <w:bottom w:val="single" w:sz="4" w:space="0" w:color="BFBFBF"/>
                    <w:right w:val="single" w:sz="4" w:space="0" w:color="FFFFFF"/>
                  </w:tcBorders>
                  <w:shd w:val="clear" w:color="000000" w:fill="808080"/>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b/>
                      <w:bCs/>
                      <w:sz w:val="20"/>
                      <w:szCs w:val="20"/>
                    </w:rPr>
                  </w:pPr>
                  <w:r w:rsidRPr="008E6C8F">
                    <w:rPr>
                      <w:rFonts w:ascii="Times New Roman" w:hAnsi="Times New Roman" w:cs="Times New Roman"/>
                      <w:b/>
                      <w:bCs/>
                      <w:sz w:val="20"/>
                      <w:szCs w:val="20"/>
                    </w:rPr>
                    <w:t>Gen 2</w:t>
                  </w:r>
                </w:p>
              </w:tc>
              <w:tc>
                <w:tcPr>
                  <w:tcW w:w="2280" w:type="dxa"/>
                  <w:tcBorders>
                    <w:top w:val="nil"/>
                    <w:left w:val="nil"/>
                    <w:bottom w:val="single" w:sz="4" w:space="0" w:color="BFBFBF"/>
                    <w:right w:val="nil"/>
                  </w:tcBorders>
                  <w:shd w:val="clear" w:color="000000" w:fill="808080"/>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b/>
                      <w:bCs/>
                      <w:sz w:val="20"/>
                      <w:szCs w:val="20"/>
                    </w:rPr>
                  </w:pPr>
                  <w:r w:rsidRPr="008E6C8F">
                    <w:rPr>
                      <w:rFonts w:ascii="Times New Roman" w:hAnsi="Times New Roman" w:cs="Times New Roman"/>
                      <w:b/>
                      <w:bCs/>
                      <w:sz w:val="20"/>
                      <w:szCs w:val="20"/>
                    </w:rPr>
                    <w:t>Gen 3+</w:t>
                  </w:r>
                </w:p>
              </w:tc>
            </w:tr>
            <w:tr w:rsidR="008E6C8F" w:rsidRPr="008E6C8F" w:rsidTr="00A04C67">
              <w:trPr>
                <w:trHeight w:val="864"/>
              </w:trPr>
              <w:tc>
                <w:tcPr>
                  <w:tcW w:w="23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Software design</w:t>
                  </w:r>
                </w:p>
              </w:tc>
              <w:tc>
                <w:tcPr>
                  <w:tcW w:w="2460" w:type="dxa"/>
                  <w:tcBorders>
                    <w:top w:val="nil"/>
                    <w:left w:val="nil"/>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BSD zone parameters</w:t>
                  </w:r>
                  <w:r w:rsidRPr="008E6C8F">
                    <w:rPr>
                      <w:rFonts w:ascii="Times New Roman" w:hAnsi="Times New Roman" w:cs="Times New Roman"/>
                      <w:sz w:val="20"/>
                      <w:szCs w:val="20"/>
                    </w:rPr>
                    <w:br/>
                    <w:t>LKA steering parameters</w:t>
                  </w:r>
                  <w:r w:rsidRPr="008E6C8F">
                    <w:rPr>
                      <w:rFonts w:ascii="Times New Roman" w:hAnsi="Times New Roman" w:cs="Times New Roman"/>
                      <w:sz w:val="20"/>
                      <w:szCs w:val="20"/>
                    </w:rPr>
                    <w:br/>
                    <w:t>BSI linkage parameters</w:t>
                  </w:r>
                </w:p>
              </w:tc>
              <w:tc>
                <w:tcPr>
                  <w:tcW w:w="2460" w:type="dxa"/>
                  <w:tcBorders>
                    <w:top w:val="nil"/>
                    <w:left w:val="nil"/>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BSI linkage parameters</w:t>
                  </w:r>
                </w:p>
              </w:tc>
              <w:tc>
                <w:tcPr>
                  <w:tcW w:w="2280" w:type="dxa"/>
                  <w:tcBorders>
                    <w:top w:val="nil"/>
                    <w:left w:val="nil"/>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n/a</w:t>
                  </w:r>
                </w:p>
              </w:tc>
            </w:tr>
            <w:tr w:rsidR="008E6C8F" w:rsidRPr="008E6C8F" w:rsidTr="00A04C67">
              <w:trPr>
                <w:trHeight w:val="864"/>
              </w:trPr>
              <w:tc>
                <w:tcPr>
                  <w:tcW w:w="2380" w:type="dxa"/>
                  <w:tcBorders>
                    <w:top w:val="nil"/>
                    <w:left w:val="single" w:sz="4" w:space="0" w:color="BFBFBF"/>
                    <w:bottom w:val="single" w:sz="4" w:space="0" w:color="BFBFBF"/>
                    <w:right w:val="single" w:sz="4" w:space="0" w:color="BFBFBF"/>
                  </w:tcBorders>
                  <w:shd w:val="clear" w:color="auto" w:fill="auto"/>
                  <w:vAlign w:val="center"/>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Validation testing</w:t>
                  </w:r>
                </w:p>
              </w:tc>
              <w:tc>
                <w:tcPr>
                  <w:tcW w:w="2460" w:type="dxa"/>
                  <w:tcBorders>
                    <w:top w:val="nil"/>
                    <w:left w:val="nil"/>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BSD zone parameters</w:t>
                  </w:r>
                  <w:r w:rsidRPr="008E6C8F">
                    <w:rPr>
                      <w:rFonts w:ascii="Times New Roman" w:hAnsi="Times New Roman" w:cs="Times New Roman"/>
                      <w:sz w:val="20"/>
                      <w:szCs w:val="20"/>
                    </w:rPr>
                    <w:br/>
                    <w:t>LKA steering parameters</w:t>
                  </w:r>
                  <w:r w:rsidRPr="008E6C8F">
                    <w:rPr>
                      <w:rFonts w:ascii="Times New Roman" w:hAnsi="Times New Roman" w:cs="Times New Roman"/>
                      <w:sz w:val="20"/>
                      <w:szCs w:val="20"/>
                    </w:rPr>
                    <w:br/>
                    <w:t>BSI linkage parameters</w:t>
                  </w:r>
                </w:p>
              </w:tc>
              <w:tc>
                <w:tcPr>
                  <w:tcW w:w="2460" w:type="dxa"/>
                  <w:tcBorders>
                    <w:top w:val="nil"/>
                    <w:left w:val="nil"/>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BSD zone parameters</w:t>
                  </w:r>
                  <w:r w:rsidRPr="008E6C8F">
                    <w:rPr>
                      <w:rFonts w:ascii="Times New Roman" w:hAnsi="Times New Roman" w:cs="Times New Roman"/>
                      <w:sz w:val="20"/>
                      <w:szCs w:val="20"/>
                    </w:rPr>
                    <w:br/>
                    <w:t>LKA steering parameters</w:t>
                  </w:r>
                  <w:r w:rsidRPr="008E6C8F">
                    <w:rPr>
                      <w:rFonts w:ascii="Times New Roman" w:hAnsi="Times New Roman" w:cs="Times New Roman"/>
                      <w:sz w:val="20"/>
                      <w:szCs w:val="20"/>
                    </w:rPr>
                    <w:br/>
                    <w:t>BSI linkage parameters</w:t>
                  </w:r>
                </w:p>
              </w:tc>
              <w:tc>
                <w:tcPr>
                  <w:tcW w:w="2280" w:type="dxa"/>
                  <w:tcBorders>
                    <w:top w:val="nil"/>
                    <w:left w:val="nil"/>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BSI linkage parameters</w:t>
                  </w:r>
                </w:p>
              </w:tc>
            </w:tr>
            <w:tr w:rsidR="008E6C8F" w:rsidRPr="008E6C8F" w:rsidTr="00A04C67">
              <w:trPr>
                <w:trHeight w:val="288"/>
              </w:trPr>
              <w:tc>
                <w:tcPr>
                  <w:tcW w:w="2380" w:type="dxa"/>
                  <w:tcBorders>
                    <w:top w:val="nil"/>
                    <w:left w:val="single" w:sz="4" w:space="0" w:color="BFBFBF"/>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Development hours</w:t>
                  </w:r>
                </w:p>
              </w:tc>
              <w:tc>
                <w:tcPr>
                  <w:tcW w:w="2460" w:type="dxa"/>
                  <w:tcBorders>
                    <w:top w:val="nil"/>
                    <w:left w:val="nil"/>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800 - 1000</w:t>
                  </w:r>
                </w:p>
              </w:tc>
              <w:tc>
                <w:tcPr>
                  <w:tcW w:w="2460" w:type="dxa"/>
                  <w:tcBorders>
                    <w:top w:val="nil"/>
                    <w:left w:val="nil"/>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600 - 800</w:t>
                  </w:r>
                </w:p>
              </w:tc>
              <w:tc>
                <w:tcPr>
                  <w:tcW w:w="2280" w:type="dxa"/>
                  <w:tcBorders>
                    <w:top w:val="nil"/>
                    <w:left w:val="nil"/>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500 - 700</w:t>
                  </w:r>
                </w:p>
              </w:tc>
            </w:tr>
            <w:tr w:rsidR="008E6C8F" w:rsidRPr="008E6C8F" w:rsidTr="00A04C67">
              <w:trPr>
                <w:trHeight w:val="288"/>
              </w:trPr>
              <w:tc>
                <w:tcPr>
                  <w:tcW w:w="2380" w:type="dxa"/>
                  <w:tcBorders>
                    <w:top w:val="nil"/>
                    <w:left w:val="single" w:sz="4" w:space="0" w:color="BFBFBF"/>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Development costs</w:t>
                  </w:r>
                </w:p>
              </w:tc>
              <w:tc>
                <w:tcPr>
                  <w:tcW w:w="2460" w:type="dxa"/>
                  <w:tcBorders>
                    <w:top w:val="nil"/>
                    <w:left w:val="nil"/>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$80k - $100k</w:t>
                  </w:r>
                </w:p>
              </w:tc>
              <w:tc>
                <w:tcPr>
                  <w:tcW w:w="2460" w:type="dxa"/>
                  <w:tcBorders>
                    <w:top w:val="nil"/>
                    <w:left w:val="nil"/>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$60k - $80k</w:t>
                  </w:r>
                </w:p>
              </w:tc>
              <w:tc>
                <w:tcPr>
                  <w:tcW w:w="2280" w:type="dxa"/>
                  <w:tcBorders>
                    <w:top w:val="nil"/>
                    <w:left w:val="nil"/>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$50 k- $70k</w:t>
                  </w:r>
                </w:p>
              </w:tc>
            </w:tr>
            <w:tr w:rsidR="008E6C8F" w:rsidRPr="008E6C8F" w:rsidTr="00A04C67">
              <w:trPr>
                <w:trHeight w:val="288"/>
              </w:trPr>
              <w:tc>
                <w:tcPr>
                  <w:tcW w:w="2380" w:type="dxa"/>
                  <w:tcBorders>
                    <w:top w:val="nil"/>
                    <w:left w:val="single" w:sz="4" w:space="0" w:color="BFBFBF"/>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Overhead (SG&amp;A + Profit)</w:t>
                  </w:r>
                </w:p>
              </w:tc>
              <w:tc>
                <w:tcPr>
                  <w:tcW w:w="7200" w:type="dxa"/>
                  <w:gridSpan w:val="3"/>
                  <w:tcBorders>
                    <w:top w:val="single" w:sz="4" w:space="0" w:color="BFBFBF"/>
                    <w:left w:val="nil"/>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24%</w:t>
                  </w:r>
                </w:p>
              </w:tc>
            </w:tr>
            <w:tr w:rsidR="008E6C8F" w:rsidRPr="008E6C8F" w:rsidTr="00A04C67">
              <w:trPr>
                <w:trHeight w:val="288"/>
              </w:trPr>
              <w:tc>
                <w:tcPr>
                  <w:tcW w:w="2380" w:type="dxa"/>
                  <w:tcBorders>
                    <w:top w:val="nil"/>
                    <w:left w:val="single" w:sz="4" w:space="0" w:color="BFBFBF"/>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Dealer markup</w:t>
                  </w:r>
                </w:p>
              </w:tc>
              <w:tc>
                <w:tcPr>
                  <w:tcW w:w="7200" w:type="dxa"/>
                  <w:gridSpan w:val="3"/>
                  <w:tcBorders>
                    <w:top w:val="single" w:sz="4" w:space="0" w:color="BFBFBF"/>
                    <w:left w:val="nil"/>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11%</w:t>
                  </w:r>
                </w:p>
              </w:tc>
            </w:tr>
            <w:tr w:rsidR="008E6C8F" w:rsidRPr="008E6C8F" w:rsidTr="00A04C67">
              <w:trPr>
                <w:trHeight w:val="288"/>
              </w:trPr>
              <w:tc>
                <w:tcPr>
                  <w:tcW w:w="2380" w:type="dxa"/>
                  <w:tcBorders>
                    <w:top w:val="nil"/>
                    <w:left w:val="single" w:sz="4" w:space="0" w:color="BFBFBF"/>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Amortization volume</w:t>
                  </w:r>
                </w:p>
              </w:tc>
              <w:tc>
                <w:tcPr>
                  <w:tcW w:w="7200" w:type="dxa"/>
                  <w:gridSpan w:val="3"/>
                  <w:tcBorders>
                    <w:top w:val="single" w:sz="4" w:space="0" w:color="BFBFBF"/>
                    <w:left w:val="nil"/>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1M units</w:t>
                  </w:r>
                </w:p>
              </w:tc>
            </w:tr>
            <w:tr w:rsidR="008E6C8F" w:rsidRPr="008E6C8F" w:rsidTr="00A04C67">
              <w:trPr>
                <w:trHeight w:val="576"/>
              </w:trPr>
              <w:tc>
                <w:tcPr>
                  <w:tcW w:w="2380" w:type="dxa"/>
                  <w:tcBorders>
                    <w:top w:val="nil"/>
                    <w:left w:val="single" w:sz="4" w:space="0" w:color="BFBFBF"/>
                    <w:bottom w:val="single" w:sz="4" w:space="0" w:color="BFBFBF"/>
                    <w:right w:val="single" w:sz="4" w:space="0" w:color="BFBFBF"/>
                  </w:tcBorders>
                  <w:shd w:val="clear" w:color="auto" w:fill="auto"/>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Per vehicle end-user price increase</w:t>
                  </w:r>
                </w:p>
              </w:tc>
              <w:tc>
                <w:tcPr>
                  <w:tcW w:w="2460" w:type="dxa"/>
                  <w:tcBorders>
                    <w:top w:val="nil"/>
                    <w:left w:val="nil"/>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$0.11 - $0.14</w:t>
                  </w:r>
                </w:p>
              </w:tc>
              <w:tc>
                <w:tcPr>
                  <w:tcW w:w="2460" w:type="dxa"/>
                  <w:tcBorders>
                    <w:top w:val="nil"/>
                    <w:left w:val="nil"/>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$0.08 - $0.11</w:t>
                  </w:r>
                </w:p>
              </w:tc>
              <w:tc>
                <w:tcPr>
                  <w:tcW w:w="2280" w:type="dxa"/>
                  <w:tcBorders>
                    <w:top w:val="nil"/>
                    <w:left w:val="nil"/>
                    <w:bottom w:val="single" w:sz="4" w:space="0" w:color="BFBFBF"/>
                    <w:right w:val="single" w:sz="4" w:space="0" w:color="BFBFBF"/>
                  </w:tcBorders>
                  <w:shd w:val="clear" w:color="auto" w:fill="auto"/>
                  <w:noWrap/>
                  <w:vAlign w:val="bottom"/>
                  <w:hideMark/>
                </w:tcPr>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$0.07 - $0.10</w:t>
                  </w:r>
                </w:p>
              </w:tc>
            </w:tr>
          </w:tbl>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fldChar w:fldCharType="end"/>
            </w:r>
          </w:p>
          <w:p w:rsid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Using these software development efforts, the total aggregated engineering costs, from the supply base to the OEM, was found to be on the order of $100,000. When calculated on a per-vehicle basis, amortizing over a 1M unit production run the costs are seen to be very small.</w:t>
            </w:r>
          </w:p>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p>
          <w:p w:rsidR="008E6C8F" w:rsidRPr="008E6C8F" w:rsidRDefault="008E6C8F" w:rsidP="008E6C8F">
            <w:pPr>
              <w:kinsoku w:val="0"/>
              <w:overflowPunct w:val="0"/>
              <w:autoSpaceDE w:val="0"/>
              <w:autoSpaceDN w:val="0"/>
              <w:adjustRightInd w:val="0"/>
              <w:spacing w:before="2" w:after="0" w:line="240" w:lineRule="auto"/>
              <w:rPr>
                <w:rFonts w:ascii="Times New Roman" w:hAnsi="Times New Roman" w:cs="Times New Roman"/>
                <w:sz w:val="20"/>
                <w:szCs w:val="20"/>
              </w:rPr>
            </w:pPr>
            <w:r w:rsidRPr="008E6C8F">
              <w:rPr>
                <w:rFonts w:ascii="Times New Roman" w:hAnsi="Times New Roman" w:cs="Times New Roman"/>
                <w:sz w:val="20"/>
                <w:szCs w:val="20"/>
              </w:rPr>
              <w:t>It would appear that reluctance on the part of OEMs to advertise or offer the feature is due more so to the industry’s concern for keeping the driver engaged with the dynamic driving task for safety reasons than it is to cost pressures. Effective driver monitoring systems are crucial to ensuring a safe rollout of advanced driver assistance technologies.</w:t>
            </w:r>
          </w:p>
          <w:p w:rsidR="003D069D" w:rsidRPr="002C547C" w:rsidRDefault="003D069D" w:rsidP="00561006">
            <w:pPr>
              <w:kinsoku w:val="0"/>
              <w:overflowPunct w:val="0"/>
              <w:autoSpaceDE w:val="0"/>
              <w:autoSpaceDN w:val="0"/>
              <w:adjustRightInd w:val="0"/>
              <w:spacing w:before="2" w:after="0" w:line="240" w:lineRule="auto"/>
              <w:rPr>
                <w:rFonts w:ascii="Times New Roman" w:hAnsi="Times New Roman" w:cs="Times New Roman"/>
                <w:sz w:val="20"/>
                <w:szCs w:val="20"/>
              </w:rPr>
            </w:pPr>
          </w:p>
        </w:tc>
      </w:tr>
      <w:tr w:rsidR="003D069D" w:rsidRPr="005B6494" w:rsidTr="00297F8A">
        <w:trPr>
          <w:jc w:val="center"/>
        </w:trPr>
        <w:tc>
          <w:tcPr>
            <w:tcW w:w="4087"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lastRenderedPageBreak/>
              <w:t>17. Key Words</w:t>
            </w:r>
          </w:p>
          <w:p w:rsidR="003D069D" w:rsidRPr="003D069D" w:rsidRDefault="009474B8"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 xml:space="preserve">BSI, Blind, Spot, Intervention, BSD, Detection, LKA, </w:t>
            </w:r>
            <w:r w:rsidRPr="009474B8">
              <w:rPr>
                <w:rFonts w:ascii="Times New Roman" w:hAnsi="Times New Roman" w:cs="Times New Roman"/>
                <w:bCs/>
                <w:sz w:val="20"/>
                <w:szCs w:val="20"/>
              </w:rPr>
              <w:t>Lane</w:t>
            </w:r>
            <w:r>
              <w:rPr>
                <w:rFonts w:ascii="Times New Roman" w:hAnsi="Times New Roman" w:cs="Times New Roman"/>
                <w:bCs/>
                <w:sz w:val="20"/>
                <w:szCs w:val="20"/>
              </w:rPr>
              <w:t>,</w:t>
            </w:r>
            <w:r w:rsidRPr="009474B8">
              <w:rPr>
                <w:rFonts w:ascii="Times New Roman" w:hAnsi="Times New Roman" w:cs="Times New Roman"/>
                <w:bCs/>
                <w:sz w:val="20"/>
                <w:szCs w:val="20"/>
              </w:rPr>
              <w:t xml:space="preserve"> Keeping</w:t>
            </w:r>
            <w:r>
              <w:rPr>
                <w:rFonts w:ascii="Times New Roman" w:hAnsi="Times New Roman" w:cs="Times New Roman"/>
                <w:bCs/>
                <w:sz w:val="20"/>
                <w:szCs w:val="20"/>
              </w:rPr>
              <w:t>,</w:t>
            </w:r>
            <w:r w:rsidRPr="009474B8">
              <w:rPr>
                <w:rFonts w:ascii="Times New Roman" w:hAnsi="Times New Roman" w:cs="Times New Roman"/>
                <w:bCs/>
                <w:sz w:val="20"/>
                <w:szCs w:val="20"/>
              </w:rPr>
              <w:t xml:space="preserve"> Assist</w:t>
            </w:r>
            <w:r>
              <w:rPr>
                <w:rFonts w:ascii="Times New Roman" w:hAnsi="Times New Roman" w:cs="Times New Roman"/>
                <w:bCs/>
                <w:sz w:val="20"/>
                <w:szCs w:val="20"/>
              </w:rPr>
              <w:t>,</w:t>
            </w:r>
            <w:r w:rsidR="000B503E">
              <w:rPr>
                <w:rFonts w:ascii="Times New Roman" w:hAnsi="Times New Roman" w:cs="Times New Roman"/>
                <w:bCs/>
                <w:sz w:val="20"/>
                <w:szCs w:val="20"/>
              </w:rPr>
              <w:t xml:space="preserve"> OEM</w:t>
            </w:r>
            <w:bookmarkStart w:id="2" w:name="_GoBack"/>
            <w:bookmarkEnd w:id="2"/>
          </w:p>
        </w:tc>
        <w:tc>
          <w:tcPr>
            <w:tcW w:w="5769"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18. Distribution Statement</w:t>
            </w:r>
          </w:p>
          <w:p w:rsidR="003D069D" w:rsidRPr="005B6494" w:rsidRDefault="003D069D" w:rsidP="00297F8A">
            <w:pPr>
              <w:spacing w:after="58"/>
              <w:contextualSpacing/>
              <w:rPr>
                <w:rFonts w:ascii="Times New Roman" w:hAnsi="Times New Roman" w:cs="Times New Roman"/>
                <w:sz w:val="20"/>
                <w:szCs w:val="20"/>
              </w:rPr>
            </w:pPr>
            <w:r w:rsidRPr="005B6494">
              <w:rPr>
                <w:rFonts w:ascii="Times New Roman" w:hAnsi="Times New Roman" w:cs="Times New Roman"/>
                <w:sz w:val="20"/>
                <w:szCs w:val="20"/>
              </w:rPr>
              <w:t xml:space="preserve">This report is free of charge from the NHTSA Web site at </w:t>
            </w:r>
            <w:hyperlink r:id="rId6" w:history="1">
              <w:r w:rsidRPr="005B6494">
                <w:rPr>
                  <w:rStyle w:val="Hyperlink"/>
                  <w:rFonts w:ascii="Times New Roman" w:hAnsi="Times New Roman" w:cs="Times New Roman"/>
                  <w:sz w:val="20"/>
                  <w:szCs w:val="20"/>
                </w:rPr>
                <w:t>www.nhtsa.dot.gov</w:t>
              </w:r>
            </w:hyperlink>
            <w:r w:rsidRPr="005B6494">
              <w:rPr>
                <w:rFonts w:ascii="Times New Roman" w:hAnsi="Times New Roman" w:cs="Times New Roman"/>
                <w:sz w:val="20"/>
                <w:szCs w:val="20"/>
              </w:rPr>
              <w:t xml:space="preserve"> </w:t>
            </w:r>
          </w:p>
        </w:tc>
      </w:tr>
      <w:tr w:rsidR="003D069D" w:rsidRPr="005B6494" w:rsidTr="00297F8A">
        <w:trPr>
          <w:trHeight w:val="545"/>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19.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report)</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20.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page)</w:t>
            </w:r>
          </w:p>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1740"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21. No. of Pages</w:t>
            </w:r>
          </w:p>
          <w:p w:rsidR="003D069D" w:rsidRPr="005B6494" w:rsidRDefault="009474B8" w:rsidP="00297F8A">
            <w:pPr>
              <w:contextualSpacing/>
              <w:rPr>
                <w:rFonts w:ascii="Times New Roman" w:hAnsi="Times New Roman" w:cs="Times New Roman"/>
                <w:b/>
                <w:bCs/>
                <w:sz w:val="20"/>
                <w:szCs w:val="20"/>
              </w:rPr>
            </w:pPr>
            <w:r>
              <w:rPr>
                <w:rFonts w:ascii="Times New Roman" w:hAnsi="Times New Roman" w:cs="Times New Roman"/>
                <w:sz w:val="20"/>
                <w:szCs w:val="20"/>
              </w:rPr>
              <w:t>32</w:t>
            </w:r>
          </w:p>
        </w:tc>
        <w:tc>
          <w:tcPr>
            <w:tcW w:w="2289"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22. Price</w:t>
            </w:r>
          </w:p>
        </w:tc>
      </w:tr>
    </w:tbl>
    <w:p w:rsidR="003D069D" w:rsidRPr="005B6494" w:rsidRDefault="003D069D" w:rsidP="003D069D">
      <w:pPr>
        <w:rPr>
          <w:rFonts w:ascii="Times New Roman" w:hAnsi="Times New Roman" w:cs="Times New Roman"/>
          <w:b/>
          <w:sz w:val="20"/>
          <w:szCs w:val="20"/>
        </w:rPr>
      </w:pPr>
      <w:r w:rsidRPr="005B6494">
        <w:rPr>
          <w:rFonts w:ascii="Times New Roman" w:hAnsi="Times New Roman" w:cs="Times New Roman"/>
          <w:b/>
          <w:bCs/>
          <w:sz w:val="20"/>
          <w:szCs w:val="20"/>
        </w:rPr>
        <w:t>Form DOT F 1700.7</w:t>
      </w:r>
      <w:r w:rsidRPr="005B6494">
        <w:rPr>
          <w:rFonts w:ascii="Times New Roman" w:hAnsi="Times New Roman" w:cs="Times New Roman"/>
          <w:sz w:val="20"/>
          <w:szCs w:val="20"/>
        </w:rPr>
        <w:t xml:space="preserve"> (8-72)</w:t>
      </w:r>
    </w:p>
    <w:p w:rsidR="003D069D" w:rsidRPr="005B6494" w:rsidRDefault="003D069D" w:rsidP="003D069D">
      <w:pPr>
        <w:rPr>
          <w:rFonts w:ascii="Times New Roman" w:hAnsi="Times New Roman" w:cs="Times New Roman"/>
          <w:sz w:val="20"/>
          <w:szCs w:val="20"/>
        </w:rPr>
      </w:pPr>
    </w:p>
    <w:p w:rsidR="008F00E6" w:rsidRDefault="008F00E6"/>
    <w:sectPr w:rsidR="008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09" w:hanging="360"/>
      </w:pPr>
      <w:rPr>
        <w:rFonts w:ascii="Symbol" w:hAnsi="Symbol" w:cs="Symbol"/>
        <w:b w:val="0"/>
        <w:bCs w:val="0"/>
        <w:sz w:val="22"/>
        <w:szCs w:val="22"/>
      </w:rPr>
    </w:lvl>
    <w:lvl w:ilvl="1">
      <w:numFmt w:val="bullet"/>
      <w:lvlText w:val="•"/>
      <w:lvlJc w:val="left"/>
      <w:pPr>
        <w:ind w:left="1860" w:hanging="360"/>
      </w:pPr>
    </w:lvl>
    <w:lvl w:ilvl="2">
      <w:numFmt w:val="bullet"/>
      <w:lvlText w:val="•"/>
      <w:lvlJc w:val="left"/>
      <w:pPr>
        <w:ind w:left="2712" w:hanging="360"/>
      </w:pPr>
    </w:lvl>
    <w:lvl w:ilvl="3">
      <w:numFmt w:val="bullet"/>
      <w:lvlText w:val="•"/>
      <w:lvlJc w:val="left"/>
      <w:pPr>
        <w:ind w:left="3564" w:hanging="360"/>
      </w:pPr>
    </w:lvl>
    <w:lvl w:ilvl="4">
      <w:numFmt w:val="bullet"/>
      <w:lvlText w:val="•"/>
      <w:lvlJc w:val="left"/>
      <w:pPr>
        <w:ind w:left="4416" w:hanging="360"/>
      </w:pPr>
    </w:lvl>
    <w:lvl w:ilvl="5">
      <w:numFmt w:val="bullet"/>
      <w:lvlText w:val="•"/>
      <w:lvlJc w:val="left"/>
      <w:pPr>
        <w:ind w:left="5267" w:hanging="360"/>
      </w:pPr>
    </w:lvl>
    <w:lvl w:ilvl="6">
      <w:numFmt w:val="bullet"/>
      <w:lvlText w:val="•"/>
      <w:lvlJc w:val="left"/>
      <w:pPr>
        <w:ind w:left="6119" w:hanging="360"/>
      </w:pPr>
    </w:lvl>
    <w:lvl w:ilvl="7">
      <w:numFmt w:val="bullet"/>
      <w:lvlText w:val="•"/>
      <w:lvlJc w:val="left"/>
      <w:pPr>
        <w:ind w:left="6971" w:hanging="360"/>
      </w:pPr>
    </w:lvl>
    <w:lvl w:ilvl="8">
      <w:numFmt w:val="bullet"/>
      <w:lvlText w:val="•"/>
      <w:lvlJc w:val="left"/>
      <w:pPr>
        <w:ind w:left="78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9D"/>
    <w:rsid w:val="000B503E"/>
    <w:rsid w:val="002E4718"/>
    <w:rsid w:val="003D069D"/>
    <w:rsid w:val="00561006"/>
    <w:rsid w:val="008E6C8F"/>
    <w:rsid w:val="008F00E6"/>
    <w:rsid w:val="009474B8"/>
    <w:rsid w:val="00C35865"/>
    <w:rsid w:val="00C5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E2D1"/>
  <w15:chartTrackingRefBased/>
  <w15:docId w15:val="{9173359F-18D6-4665-AC66-8CCDA816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69D"/>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0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tsa.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A27A-4093-4988-8EBD-CE5023F6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Florus, Shirley (NHTSA)</dc:creator>
  <cp:keywords/>
  <dc:description/>
  <cp:lastModifiedBy>Florus, Shirley (NHTSA)</cp:lastModifiedBy>
  <cp:revision>6</cp:revision>
  <dcterms:created xsi:type="dcterms:W3CDTF">2021-05-10T15:24:00Z</dcterms:created>
  <dcterms:modified xsi:type="dcterms:W3CDTF">2021-06-01T02:33:00Z</dcterms:modified>
</cp:coreProperties>
</file>